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1BDD3" w14:textId="3460B09C" w:rsidR="007A4C71" w:rsidRDefault="00A21E1F">
      <w:r>
        <w:t>Dynamický nákupní systém</w:t>
      </w:r>
    </w:p>
    <w:sectPr w:rsidR="007A4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E1F"/>
    <w:rsid w:val="00622BAF"/>
    <w:rsid w:val="0075529F"/>
    <w:rsid w:val="007A4C71"/>
    <w:rsid w:val="00A2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D98B3"/>
  <w15:chartTrackingRefBased/>
  <w15:docId w15:val="{65B4279B-9727-449E-9A81-ED5797BFB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21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21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1E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1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1E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1E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1E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1E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1E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1E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21E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1E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1E1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1E1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1E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1E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1E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1E1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21E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21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21E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21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21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21E1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21E1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21E1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21E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21E1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21E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Pavla Gregárková</dc:creator>
  <cp:keywords/>
  <dc:description/>
  <cp:lastModifiedBy>Ing. Pavla Gregárková</cp:lastModifiedBy>
  <cp:revision>1</cp:revision>
  <dcterms:created xsi:type="dcterms:W3CDTF">2025-10-13T10:20:00Z</dcterms:created>
  <dcterms:modified xsi:type="dcterms:W3CDTF">2025-10-13T10:20:00Z</dcterms:modified>
</cp:coreProperties>
</file>